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left" w:leader="none" w:pos="2430"/>
        </w:tabs>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-737233</wp:posOffset>
            </wp:positionH>
            <wp:positionV relativeFrom="paragraph">
              <wp:posOffset>70871</wp:posOffset>
            </wp:positionV>
            <wp:extent cx="7363088" cy="1682496"/>
            <wp:effectExtent b="0" l="0" r="0" t="0"/>
            <wp:wrapSquare wrapText="bothSides" distB="0" distT="0" distL="114300" distR="11430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7363088" cy="1682496"/>
                    </a:xfrm>
                    <a:prstGeom prst="rect"/>
                    <a:ln/>
                  </pic:spPr>
                </pic:pic>
              </a:graphicData>
            </a:graphic>
          </wp:anchor>
        </w:drawing>
      </w:r>
    </w:p>
    <w:p w:rsidR="00000000" w:rsidDel="00000000" w:rsidP="00000000" w:rsidRDefault="00000000" w:rsidRPr="00000000" w14:paraId="00000002">
      <w:pPr>
        <w:spacing w:after="0" w:line="240" w:lineRule="auto"/>
        <w:ind w:hanging="2"/>
        <w:jc w:val="center"/>
        <w:rPr>
          <w:rFonts w:ascii="Merriweather" w:cs="Merriweather" w:eastAsia="Merriweather" w:hAnsi="Merriweather"/>
          <w:b w:val="1"/>
          <w:sz w:val="32"/>
          <w:szCs w:val="32"/>
        </w:rPr>
      </w:pPr>
      <w:r w:rsidDel="00000000" w:rsidR="00000000" w:rsidRPr="00000000">
        <w:rPr>
          <w:rFonts w:ascii="Merriweather" w:cs="Merriweather" w:eastAsia="Merriweather" w:hAnsi="Merriweather"/>
          <w:b w:val="1"/>
          <w:sz w:val="32"/>
          <w:szCs w:val="32"/>
          <w:rtl w:val="0"/>
        </w:rPr>
        <w:t xml:space="preserve">NOTICE OF POSITION OPENING</w:t>
      </w:r>
    </w:p>
    <w:p w:rsidR="00000000" w:rsidDel="00000000" w:rsidP="00000000" w:rsidRDefault="00000000" w:rsidRPr="00000000" w14:paraId="00000003">
      <w:pPr>
        <w:spacing w:after="0" w:line="240" w:lineRule="auto"/>
        <w:ind w:hanging="2"/>
        <w:jc w:val="center"/>
        <w:rPr>
          <w:rFonts w:ascii="Merriweather" w:cs="Merriweather" w:eastAsia="Merriweather" w:hAnsi="Merriweather"/>
          <w:b w:val="1"/>
          <w:sz w:val="20"/>
          <w:szCs w:val="20"/>
        </w:rPr>
      </w:pPr>
      <w:r w:rsidDel="00000000" w:rsidR="00000000" w:rsidRPr="00000000">
        <w:rPr>
          <w:rtl w:val="0"/>
        </w:rPr>
      </w:r>
    </w:p>
    <w:tbl>
      <w:tblPr>
        <w:tblStyle w:val="Table1"/>
        <w:tblW w:w="105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490"/>
        <w:gridCol w:w="3000"/>
        <w:gridCol w:w="1770"/>
        <w:gridCol w:w="3300"/>
        <w:tblGridChange w:id="0">
          <w:tblGrid>
            <w:gridCol w:w="2490"/>
            <w:gridCol w:w="3000"/>
            <w:gridCol w:w="1770"/>
            <w:gridCol w:w="3300"/>
          </w:tblGrid>
        </w:tblGridChange>
      </w:tblGrid>
      <w:tr>
        <w:trPr>
          <w:cantSplit w:val="0"/>
          <w:trHeight w:val="520" w:hRule="atLeast"/>
          <w:tblHeader w:val="0"/>
        </w:trPr>
        <w:tc>
          <w:tcPr>
            <w:gridSpan w:val="4"/>
            <w:shd w:fill="9fc5e8" w:val="clear"/>
            <w:tcMar>
              <w:top w:w="100.0" w:type="dxa"/>
              <w:left w:w="100.0" w:type="dxa"/>
              <w:bottom w:w="100.0" w:type="dxa"/>
              <w:right w:w="100.0" w:type="dxa"/>
            </w:tcMar>
            <w:vAlign w:val="top"/>
          </w:tcPr>
          <w:p w:rsidR="00000000" w:rsidDel="00000000" w:rsidP="00000000" w:rsidRDefault="00000000" w:rsidRPr="00000000" w14:paraId="00000004">
            <w:pPr>
              <w:widowControl w:val="0"/>
              <w:spacing w:after="0" w:line="240" w:lineRule="auto"/>
              <w:jc w:val="center"/>
              <w:rPr>
                <w:rFonts w:ascii="Merriweather" w:cs="Merriweather" w:eastAsia="Merriweather" w:hAnsi="Merriweather"/>
                <w:b w:val="1"/>
                <w:sz w:val="26"/>
                <w:szCs w:val="26"/>
              </w:rPr>
            </w:pPr>
            <w:r w:rsidDel="00000000" w:rsidR="00000000" w:rsidRPr="00000000">
              <w:rPr>
                <w:rFonts w:ascii="Merriweather" w:cs="Merriweather" w:eastAsia="Merriweather" w:hAnsi="Merriweather"/>
                <w:b w:val="1"/>
                <w:sz w:val="26"/>
                <w:szCs w:val="26"/>
                <w:rtl w:val="0"/>
              </w:rPr>
              <w:t xml:space="preserve">SPECIAL EDUCATION</w:t>
            </w:r>
            <w:r w:rsidDel="00000000" w:rsidR="00000000" w:rsidRPr="00000000">
              <w:rPr>
                <w:rFonts w:ascii="Merriweather" w:cs="Merriweather" w:eastAsia="Merriweather" w:hAnsi="Merriweather"/>
                <w:b w:val="1"/>
                <w:sz w:val="26"/>
                <w:szCs w:val="26"/>
                <w:rtl w:val="0"/>
              </w:rPr>
              <w:t xml:space="preserve"> PARAPROFESSIONALS</w:t>
            </w:r>
            <w:r w:rsidDel="00000000" w:rsidR="00000000" w:rsidRPr="00000000">
              <w:rPr>
                <w:rtl w:val="0"/>
              </w:rPr>
            </w:r>
          </w:p>
        </w:tc>
      </w:tr>
      <w:tr>
        <w:trPr>
          <w:cantSplit w:val="0"/>
          <w:tblHeader w:val="0"/>
        </w:trPr>
        <w:tc>
          <w:tcPr>
            <w:shd w:fill="6d9eeb" w:val="clear"/>
            <w:tcMar>
              <w:top w:w="100.0" w:type="dxa"/>
              <w:left w:w="100.0" w:type="dxa"/>
              <w:bottom w:w="100.0" w:type="dxa"/>
              <w:right w:w="100.0" w:type="dxa"/>
            </w:tcMar>
            <w:vAlign w:val="top"/>
          </w:tcPr>
          <w:p w:rsidR="00000000" w:rsidDel="00000000" w:rsidP="00000000" w:rsidRDefault="00000000" w:rsidRPr="00000000" w14:paraId="00000008">
            <w:pPr>
              <w:widowControl w:val="0"/>
              <w:spacing w:after="0" w:line="240" w:lineRule="auto"/>
              <w:rPr>
                <w:rFonts w:ascii="Merriweather" w:cs="Merriweather" w:eastAsia="Merriweather" w:hAnsi="Merriweather"/>
                <w:b w:val="1"/>
                <w:sz w:val="26"/>
                <w:szCs w:val="26"/>
              </w:rPr>
            </w:pPr>
            <w:r w:rsidDel="00000000" w:rsidR="00000000" w:rsidRPr="00000000">
              <w:rPr>
                <w:rFonts w:ascii="Merriweather" w:cs="Merriweather" w:eastAsia="Merriweather" w:hAnsi="Merriweather"/>
                <w:b w:val="1"/>
                <w:sz w:val="26"/>
                <w:szCs w:val="26"/>
                <w:rtl w:val="0"/>
              </w:rPr>
              <w:t xml:space="preserve">Date Posted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09">
            <w:pPr>
              <w:widowControl w:val="0"/>
              <w:spacing w:after="0" w:line="240" w:lineRule="auto"/>
              <w:rPr>
                <w:rFonts w:ascii="Merriweather" w:cs="Merriweather" w:eastAsia="Merriweather" w:hAnsi="Merriweather"/>
                <w:sz w:val="26"/>
                <w:szCs w:val="26"/>
              </w:rPr>
            </w:pPr>
            <w:r w:rsidDel="00000000" w:rsidR="00000000" w:rsidRPr="00000000">
              <w:rPr>
                <w:rFonts w:ascii="Merriweather" w:cs="Merriweather" w:eastAsia="Merriweather" w:hAnsi="Merriweather"/>
                <w:sz w:val="26"/>
                <w:szCs w:val="26"/>
                <w:rtl w:val="0"/>
              </w:rPr>
              <w:t xml:space="preserve">August 15, 2024</w:t>
            </w:r>
          </w:p>
        </w:tc>
        <w:tc>
          <w:tcPr>
            <w:shd w:fill="6d9eeb" w:val="clear"/>
            <w:tcMar>
              <w:top w:w="100.0" w:type="dxa"/>
              <w:left w:w="100.0" w:type="dxa"/>
              <w:bottom w:w="100.0" w:type="dxa"/>
              <w:right w:w="100.0" w:type="dxa"/>
            </w:tcMar>
            <w:vAlign w:val="top"/>
          </w:tcPr>
          <w:p w:rsidR="00000000" w:rsidDel="00000000" w:rsidP="00000000" w:rsidRDefault="00000000" w:rsidRPr="00000000" w14:paraId="0000000A">
            <w:pPr>
              <w:widowControl w:val="0"/>
              <w:spacing w:after="0" w:line="240" w:lineRule="auto"/>
              <w:rPr>
                <w:rFonts w:ascii="Merriweather" w:cs="Merriweather" w:eastAsia="Merriweather" w:hAnsi="Merriweather"/>
                <w:b w:val="1"/>
                <w:sz w:val="26"/>
                <w:szCs w:val="26"/>
              </w:rPr>
            </w:pPr>
            <w:r w:rsidDel="00000000" w:rsidR="00000000" w:rsidRPr="00000000">
              <w:rPr>
                <w:rFonts w:ascii="Merriweather" w:cs="Merriweather" w:eastAsia="Merriweather" w:hAnsi="Merriweather"/>
                <w:b w:val="1"/>
                <w:sz w:val="26"/>
                <w:szCs w:val="26"/>
                <w:rtl w:val="0"/>
              </w:rPr>
              <w:t xml:space="preserve">Application Deadline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widowControl w:val="0"/>
              <w:spacing w:after="0" w:line="240" w:lineRule="auto"/>
              <w:rPr>
                <w:rFonts w:ascii="Merriweather" w:cs="Merriweather" w:eastAsia="Merriweather" w:hAnsi="Merriweather"/>
                <w:sz w:val="26"/>
                <w:szCs w:val="26"/>
              </w:rPr>
            </w:pPr>
            <w:r w:rsidDel="00000000" w:rsidR="00000000" w:rsidRPr="00000000">
              <w:rPr>
                <w:rFonts w:ascii="Merriweather" w:cs="Merriweather" w:eastAsia="Merriweather" w:hAnsi="Merriweather"/>
                <w:sz w:val="26"/>
                <w:szCs w:val="26"/>
                <w:rtl w:val="0"/>
              </w:rPr>
              <w:t xml:space="preserve">Open Until Filled</w:t>
            </w:r>
          </w:p>
        </w:tc>
      </w:tr>
      <w:tr>
        <w:trPr>
          <w:cantSplit w:val="0"/>
          <w:trHeight w:val="520" w:hRule="atLeast"/>
          <w:tblHeader w:val="0"/>
        </w:trPr>
        <w:tc>
          <w:tcPr>
            <w:shd w:fill="6d9eeb" w:val="clear"/>
            <w:tcMar>
              <w:top w:w="100.0" w:type="dxa"/>
              <w:left w:w="100.0" w:type="dxa"/>
              <w:bottom w:w="100.0" w:type="dxa"/>
              <w:right w:w="100.0" w:type="dxa"/>
            </w:tcMar>
            <w:vAlign w:val="top"/>
          </w:tcPr>
          <w:p w:rsidR="00000000" w:rsidDel="00000000" w:rsidP="00000000" w:rsidRDefault="00000000" w:rsidRPr="00000000" w14:paraId="0000000C">
            <w:pPr>
              <w:widowControl w:val="0"/>
              <w:spacing w:after="0" w:line="240" w:lineRule="auto"/>
              <w:rPr>
                <w:rFonts w:ascii="Merriweather" w:cs="Merriweather" w:eastAsia="Merriweather" w:hAnsi="Merriweather"/>
                <w:b w:val="1"/>
                <w:sz w:val="26"/>
                <w:szCs w:val="26"/>
              </w:rPr>
            </w:pPr>
            <w:r w:rsidDel="00000000" w:rsidR="00000000" w:rsidRPr="00000000">
              <w:rPr>
                <w:rFonts w:ascii="Merriweather" w:cs="Merriweather" w:eastAsia="Merriweather" w:hAnsi="Merriweather"/>
                <w:b w:val="1"/>
                <w:sz w:val="26"/>
                <w:szCs w:val="26"/>
                <w:rtl w:val="0"/>
              </w:rPr>
              <w:t xml:space="preserve">Primary</w:t>
            </w:r>
          </w:p>
          <w:p w:rsidR="00000000" w:rsidDel="00000000" w:rsidP="00000000" w:rsidRDefault="00000000" w:rsidRPr="00000000" w14:paraId="0000000D">
            <w:pPr>
              <w:widowControl w:val="0"/>
              <w:spacing w:after="0" w:line="240" w:lineRule="auto"/>
              <w:rPr>
                <w:rFonts w:ascii="Merriweather" w:cs="Merriweather" w:eastAsia="Merriweather" w:hAnsi="Merriweather"/>
                <w:b w:val="1"/>
                <w:sz w:val="26"/>
                <w:szCs w:val="26"/>
              </w:rPr>
            </w:pPr>
            <w:r w:rsidDel="00000000" w:rsidR="00000000" w:rsidRPr="00000000">
              <w:rPr>
                <w:rFonts w:ascii="Merriweather" w:cs="Merriweather" w:eastAsia="Merriweather" w:hAnsi="Merriweather"/>
                <w:b w:val="1"/>
                <w:sz w:val="26"/>
                <w:szCs w:val="26"/>
                <w:rtl w:val="0"/>
              </w:rPr>
              <w:t xml:space="preserve">Function</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0E">
            <w:pPr>
              <w:widowControl w:val="0"/>
              <w:spacing w:after="0" w:line="240" w:lineRule="auto"/>
              <w:rPr>
                <w:rFonts w:ascii="Merriweather" w:cs="Merriweather" w:eastAsia="Merriweather" w:hAnsi="Merriweather"/>
                <w:sz w:val="26"/>
                <w:szCs w:val="26"/>
              </w:rPr>
            </w:pPr>
            <w:r w:rsidDel="00000000" w:rsidR="00000000" w:rsidRPr="00000000">
              <w:rPr>
                <w:rFonts w:ascii="Merriweather" w:cs="Merriweather" w:eastAsia="Merriweather" w:hAnsi="Merriweather"/>
                <w:sz w:val="26"/>
                <w:szCs w:val="26"/>
                <w:rtl w:val="0"/>
              </w:rPr>
              <w:t xml:space="preserve">Working with student(s) who have difficulty succeeding physically, mentally, emotionally, or academically without special assistance. Assisting the classroom teacher with general student support, as instructed.</w:t>
            </w:r>
          </w:p>
        </w:tc>
      </w:tr>
      <w:tr>
        <w:trPr>
          <w:cantSplit w:val="0"/>
          <w:trHeight w:val="520" w:hRule="atLeast"/>
          <w:tblHeader w:val="0"/>
        </w:trPr>
        <w:tc>
          <w:tcPr>
            <w:shd w:fill="6d9eeb" w:val="clear"/>
            <w:tcMar>
              <w:top w:w="100.0" w:type="dxa"/>
              <w:left w:w="100.0" w:type="dxa"/>
              <w:bottom w:w="100.0" w:type="dxa"/>
              <w:right w:w="100.0" w:type="dxa"/>
            </w:tcMar>
            <w:vAlign w:val="top"/>
          </w:tcPr>
          <w:p w:rsidR="00000000" w:rsidDel="00000000" w:rsidP="00000000" w:rsidRDefault="00000000" w:rsidRPr="00000000" w14:paraId="00000011">
            <w:pPr>
              <w:widowControl w:val="0"/>
              <w:spacing w:after="0" w:line="240" w:lineRule="auto"/>
              <w:rPr>
                <w:rFonts w:ascii="Merriweather" w:cs="Merriweather" w:eastAsia="Merriweather" w:hAnsi="Merriweather"/>
                <w:b w:val="1"/>
                <w:sz w:val="26"/>
                <w:szCs w:val="26"/>
              </w:rPr>
            </w:pPr>
            <w:r w:rsidDel="00000000" w:rsidR="00000000" w:rsidRPr="00000000">
              <w:rPr>
                <w:rFonts w:ascii="Merriweather" w:cs="Merriweather" w:eastAsia="Merriweather" w:hAnsi="Merriweather"/>
                <w:b w:val="1"/>
                <w:sz w:val="26"/>
                <w:szCs w:val="26"/>
                <w:rtl w:val="0"/>
              </w:rPr>
              <w:t xml:space="preserve">Preferred Qualifications</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12">
            <w:pPr>
              <w:widowControl w:val="0"/>
              <w:numPr>
                <w:ilvl w:val="0"/>
                <w:numId w:val="1"/>
              </w:numPr>
              <w:spacing w:after="0" w:line="240" w:lineRule="auto"/>
              <w:ind w:left="720" w:hanging="360"/>
              <w:rPr>
                <w:rFonts w:ascii="Merriweather" w:cs="Merriweather" w:eastAsia="Merriweather" w:hAnsi="Merriweather"/>
                <w:sz w:val="26"/>
                <w:szCs w:val="26"/>
              </w:rPr>
            </w:pPr>
            <w:r w:rsidDel="00000000" w:rsidR="00000000" w:rsidRPr="00000000">
              <w:rPr>
                <w:rFonts w:ascii="Merriweather" w:cs="Merriweather" w:eastAsia="Merriweather" w:hAnsi="Merriweather"/>
                <w:sz w:val="26"/>
                <w:szCs w:val="26"/>
                <w:rtl w:val="0"/>
              </w:rPr>
              <w:t xml:space="preserve">Minimum of an Associate’s Degree, or 60 hours from an approved college, preferred</w:t>
            </w:r>
          </w:p>
          <w:p w:rsidR="00000000" w:rsidDel="00000000" w:rsidP="00000000" w:rsidRDefault="00000000" w:rsidRPr="00000000" w14:paraId="00000013">
            <w:pPr>
              <w:widowControl w:val="0"/>
              <w:numPr>
                <w:ilvl w:val="0"/>
                <w:numId w:val="1"/>
              </w:numPr>
              <w:spacing w:after="0" w:line="240" w:lineRule="auto"/>
              <w:ind w:left="720" w:hanging="360"/>
              <w:rPr>
                <w:rFonts w:ascii="Merriweather" w:cs="Merriweather" w:eastAsia="Merriweather" w:hAnsi="Merriweather"/>
                <w:sz w:val="26"/>
                <w:szCs w:val="26"/>
              </w:rPr>
            </w:pPr>
            <w:r w:rsidDel="00000000" w:rsidR="00000000" w:rsidRPr="00000000">
              <w:rPr>
                <w:rFonts w:ascii="Merriweather" w:cs="Merriweather" w:eastAsia="Merriweather" w:hAnsi="Merriweather"/>
                <w:sz w:val="26"/>
                <w:szCs w:val="26"/>
                <w:rtl w:val="0"/>
              </w:rPr>
              <w:t xml:space="preserve">Communicate effectively with students (and adults) in order to encourage and aid student progress</w:t>
            </w:r>
          </w:p>
          <w:p w:rsidR="00000000" w:rsidDel="00000000" w:rsidP="00000000" w:rsidRDefault="00000000" w:rsidRPr="00000000" w14:paraId="00000014">
            <w:pPr>
              <w:widowControl w:val="0"/>
              <w:numPr>
                <w:ilvl w:val="0"/>
                <w:numId w:val="1"/>
              </w:numPr>
              <w:spacing w:after="0" w:line="240" w:lineRule="auto"/>
              <w:ind w:left="720" w:hanging="360"/>
              <w:rPr>
                <w:rFonts w:ascii="Arial" w:cs="Arial" w:eastAsia="Arial" w:hAnsi="Arial"/>
                <w:sz w:val="26"/>
                <w:szCs w:val="26"/>
              </w:rPr>
            </w:pPr>
            <w:r w:rsidDel="00000000" w:rsidR="00000000" w:rsidRPr="00000000">
              <w:rPr>
                <w:rFonts w:ascii="Merriweather" w:cs="Merriweather" w:eastAsia="Merriweather" w:hAnsi="Merriweather"/>
                <w:sz w:val="26"/>
                <w:szCs w:val="26"/>
                <w:rtl w:val="0"/>
              </w:rPr>
              <w:t xml:space="preserve">Such alternatives beyond the above qualifications as the board of education deems appropriate and acceptable</w:t>
            </w:r>
            <w:r w:rsidDel="00000000" w:rsidR="00000000" w:rsidRPr="00000000">
              <w:rPr>
                <w:rtl w:val="0"/>
              </w:rPr>
            </w:r>
          </w:p>
        </w:tc>
      </w:tr>
      <w:tr>
        <w:trPr>
          <w:cantSplit w:val="0"/>
          <w:trHeight w:val="520" w:hRule="atLeast"/>
          <w:tblHeader w:val="0"/>
        </w:trPr>
        <w:tc>
          <w:tcPr>
            <w:shd w:fill="6d9eeb" w:val="clear"/>
            <w:tcMar>
              <w:top w:w="100.0" w:type="dxa"/>
              <w:left w:w="100.0" w:type="dxa"/>
              <w:bottom w:w="100.0" w:type="dxa"/>
              <w:right w:w="100.0" w:type="dxa"/>
            </w:tcMar>
            <w:vAlign w:val="top"/>
          </w:tcPr>
          <w:p w:rsidR="00000000" w:rsidDel="00000000" w:rsidP="00000000" w:rsidRDefault="00000000" w:rsidRPr="00000000" w14:paraId="00000017">
            <w:pPr>
              <w:widowControl w:val="0"/>
              <w:spacing w:after="0" w:line="240" w:lineRule="auto"/>
              <w:rPr>
                <w:rFonts w:ascii="Merriweather" w:cs="Merriweather" w:eastAsia="Merriweather" w:hAnsi="Merriweather"/>
                <w:b w:val="1"/>
                <w:sz w:val="26"/>
                <w:szCs w:val="26"/>
              </w:rPr>
            </w:pPr>
            <w:r w:rsidDel="00000000" w:rsidR="00000000" w:rsidRPr="00000000">
              <w:rPr>
                <w:rFonts w:ascii="Merriweather" w:cs="Merriweather" w:eastAsia="Merriweather" w:hAnsi="Merriweather"/>
                <w:b w:val="1"/>
                <w:sz w:val="26"/>
                <w:szCs w:val="26"/>
                <w:rtl w:val="0"/>
              </w:rPr>
              <w:t xml:space="preserve">Hours/Pay</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18">
            <w:pPr>
              <w:widowControl w:val="0"/>
              <w:spacing w:after="0" w:line="240" w:lineRule="auto"/>
              <w:rPr>
                <w:rFonts w:ascii="Merriweather" w:cs="Merriweather" w:eastAsia="Merriweather" w:hAnsi="Merriweather"/>
                <w:sz w:val="26"/>
                <w:szCs w:val="26"/>
              </w:rPr>
            </w:pPr>
            <w:r w:rsidDel="00000000" w:rsidR="00000000" w:rsidRPr="00000000">
              <w:rPr>
                <w:rFonts w:ascii="Merriweather" w:cs="Merriweather" w:eastAsia="Merriweather" w:hAnsi="Merriweather"/>
                <w:sz w:val="26"/>
                <w:szCs w:val="26"/>
                <w:rtl w:val="0"/>
              </w:rPr>
              <w:t xml:space="preserve">School paid positions; 7 hours/day; starting pay $15.04/hour; paid leave days; health, vision, dental insurances; retirement</w:t>
            </w:r>
          </w:p>
        </w:tc>
      </w:tr>
      <w:tr>
        <w:trPr>
          <w:cantSplit w:val="0"/>
          <w:trHeight w:val="520" w:hRule="atLeast"/>
          <w:tblHeader w:val="0"/>
        </w:trPr>
        <w:tc>
          <w:tcPr>
            <w:shd w:fill="6d9eeb" w:val="clear"/>
            <w:tcMar>
              <w:top w:w="100.0" w:type="dxa"/>
              <w:left w:w="100.0" w:type="dxa"/>
              <w:bottom w:w="100.0" w:type="dxa"/>
              <w:right w:w="100.0" w:type="dxa"/>
            </w:tcMar>
            <w:vAlign w:val="top"/>
          </w:tcPr>
          <w:p w:rsidR="00000000" w:rsidDel="00000000" w:rsidP="00000000" w:rsidRDefault="00000000" w:rsidRPr="00000000" w14:paraId="0000001B">
            <w:pPr>
              <w:widowControl w:val="0"/>
              <w:spacing w:after="0" w:line="240" w:lineRule="auto"/>
              <w:rPr>
                <w:rFonts w:ascii="Merriweather" w:cs="Merriweather" w:eastAsia="Merriweather" w:hAnsi="Merriweather"/>
                <w:b w:val="1"/>
                <w:sz w:val="26"/>
                <w:szCs w:val="26"/>
              </w:rPr>
            </w:pPr>
            <w:r w:rsidDel="00000000" w:rsidR="00000000" w:rsidRPr="00000000">
              <w:rPr>
                <w:rFonts w:ascii="Merriweather" w:cs="Merriweather" w:eastAsia="Merriweather" w:hAnsi="Merriweather"/>
                <w:b w:val="1"/>
                <w:sz w:val="26"/>
                <w:szCs w:val="26"/>
                <w:rtl w:val="0"/>
              </w:rPr>
              <w:t xml:space="preserve">Responsibilities</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1C">
            <w:pPr>
              <w:widowControl w:val="0"/>
              <w:spacing w:after="0" w:line="240" w:lineRule="auto"/>
              <w:rPr>
                <w:rFonts w:ascii="Merriweather" w:cs="Merriweather" w:eastAsia="Merriweather" w:hAnsi="Merriweather"/>
                <w:sz w:val="26"/>
                <w:szCs w:val="26"/>
              </w:rPr>
            </w:pPr>
            <w:r w:rsidDel="00000000" w:rsidR="00000000" w:rsidRPr="00000000">
              <w:rPr>
                <w:rFonts w:ascii="Merriweather" w:cs="Merriweather" w:eastAsia="Merriweather" w:hAnsi="Merriweather"/>
                <w:sz w:val="26"/>
                <w:szCs w:val="26"/>
                <w:rtl w:val="0"/>
              </w:rPr>
              <w:t xml:space="preserve">Please see attached job description.</w:t>
            </w:r>
          </w:p>
        </w:tc>
      </w:tr>
      <w:tr>
        <w:trPr>
          <w:cantSplit w:val="0"/>
          <w:trHeight w:val="520" w:hRule="atLeast"/>
          <w:tblHeader w:val="0"/>
        </w:trPr>
        <w:tc>
          <w:tcPr>
            <w:shd w:fill="6d9eeb" w:val="clear"/>
            <w:tcMar>
              <w:top w:w="100.0" w:type="dxa"/>
              <w:left w:w="100.0" w:type="dxa"/>
              <w:bottom w:w="100.0" w:type="dxa"/>
              <w:right w:w="100.0" w:type="dxa"/>
            </w:tcMar>
            <w:vAlign w:val="top"/>
          </w:tcPr>
          <w:p w:rsidR="00000000" w:rsidDel="00000000" w:rsidP="00000000" w:rsidRDefault="00000000" w:rsidRPr="00000000" w14:paraId="0000001F">
            <w:pPr>
              <w:widowControl w:val="0"/>
              <w:spacing w:after="0" w:line="240" w:lineRule="auto"/>
              <w:rPr>
                <w:rFonts w:ascii="Merriweather" w:cs="Merriweather" w:eastAsia="Merriweather" w:hAnsi="Merriweather"/>
                <w:b w:val="1"/>
                <w:sz w:val="26"/>
                <w:szCs w:val="26"/>
              </w:rPr>
            </w:pPr>
            <w:r w:rsidDel="00000000" w:rsidR="00000000" w:rsidRPr="00000000">
              <w:rPr>
                <w:rFonts w:ascii="Merriweather" w:cs="Merriweather" w:eastAsia="Merriweather" w:hAnsi="Merriweather"/>
                <w:b w:val="1"/>
                <w:sz w:val="26"/>
                <w:szCs w:val="26"/>
                <w:rtl w:val="0"/>
              </w:rPr>
              <w:t xml:space="preserve">Application Process</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20">
            <w:pPr>
              <w:widowControl w:val="0"/>
              <w:spacing w:after="0" w:line="240" w:lineRule="auto"/>
              <w:rPr>
                <w:rFonts w:ascii="Merriweather" w:cs="Merriweather" w:eastAsia="Merriweather" w:hAnsi="Merriweather"/>
                <w:sz w:val="26"/>
                <w:szCs w:val="26"/>
              </w:rPr>
            </w:pPr>
            <w:r w:rsidDel="00000000" w:rsidR="00000000" w:rsidRPr="00000000">
              <w:rPr>
                <w:rFonts w:ascii="Merriweather" w:cs="Merriweather" w:eastAsia="Merriweather" w:hAnsi="Merriweather"/>
                <w:sz w:val="26"/>
                <w:szCs w:val="26"/>
                <w:rtl w:val="0"/>
              </w:rPr>
              <w:t xml:space="preserve">Please visit </w:t>
            </w:r>
            <w:hyperlink r:id="rId7">
              <w:r w:rsidDel="00000000" w:rsidR="00000000" w:rsidRPr="00000000">
                <w:rPr>
                  <w:rFonts w:ascii="Merriweather" w:cs="Merriweather" w:eastAsia="Merriweather" w:hAnsi="Merriweather"/>
                  <w:color w:val="1155cc"/>
                  <w:sz w:val="26"/>
                  <w:szCs w:val="26"/>
                  <w:u w:val="single"/>
                  <w:rtl w:val="0"/>
                </w:rPr>
                <w:t xml:space="preserve">petoskeyschools.org/employment</w:t>
              </w:r>
            </w:hyperlink>
            <w:r w:rsidDel="00000000" w:rsidR="00000000" w:rsidRPr="00000000">
              <w:rPr>
                <w:rFonts w:ascii="Merriweather" w:cs="Merriweather" w:eastAsia="Merriweather" w:hAnsi="Merriweather"/>
                <w:sz w:val="26"/>
                <w:szCs w:val="26"/>
                <w:rtl w:val="0"/>
              </w:rPr>
              <w:t xml:space="preserve"> to apply online. Complete application &amp; include a letter of interest, resume, references, transcripts &amp; certificates.</w:t>
            </w:r>
          </w:p>
        </w:tc>
      </w:tr>
      <w:tr>
        <w:trPr>
          <w:cantSplit w:val="0"/>
          <w:trHeight w:val="520" w:hRule="atLeast"/>
          <w:tblHeader w:val="0"/>
        </w:trPr>
        <w:tc>
          <w:tcPr>
            <w:gridSpan w:val="4"/>
            <w:shd w:fill="9fc5e8" w:val="clear"/>
            <w:tcMar>
              <w:top w:w="100.0" w:type="dxa"/>
              <w:left w:w="100.0" w:type="dxa"/>
              <w:bottom w:w="100.0" w:type="dxa"/>
              <w:right w:w="100.0" w:type="dxa"/>
            </w:tcMar>
            <w:vAlign w:val="top"/>
          </w:tcPr>
          <w:p w:rsidR="00000000" w:rsidDel="00000000" w:rsidP="00000000" w:rsidRDefault="00000000" w:rsidRPr="00000000" w14:paraId="00000023">
            <w:pPr>
              <w:widowControl w:val="0"/>
              <w:spacing w:after="0" w:line="240" w:lineRule="auto"/>
              <w:jc w:val="center"/>
              <w:rPr>
                <w:rFonts w:ascii="Merriweather" w:cs="Merriweather" w:eastAsia="Merriweather" w:hAnsi="Merriweather"/>
                <w:b w:val="1"/>
                <w:sz w:val="20"/>
                <w:szCs w:val="20"/>
              </w:rPr>
            </w:pPr>
            <w:r w:rsidDel="00000000" w:rsidR="00000000" w:rsidRPr="00000000">
              <w:rPr>
                <w:rFonts w:ascii="Merriweather" w:cs="Merriweather" w:eastAsia="Merriweather" w:hAnsi="Merriweather"/>
                <w:b w:val="1"/>
                <w:sz w:val="20"/>
                <w:szCs w:val="20"/>
                <w:rtl w:val="0"/>
              </w:rPr>
              <w:t xml:space="preserve">Notice of Non-discrimination</w:t>
            </w:r>
          </w:p>
        </w:tc>
      </w:tr>
      <w:tr>
        <w:trPr>
          <w:cantSplit w:val="0"/>
          <w:trHeight w:val="520"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27">
            <w:pPr>
              <w:widowControl w:val="0"/>
              <w:spacing w:after="0" w:line="240" w:lineRule="auto"/>
              <w:jc w:val="center"/>
              <w:rPr>
                <w:rFonts w:ascii="Merriweather" w:cs="Merriweather" w:eastAsia="Merriweather" w:hAnsi="Merriweather"/>
                <w:sz w:val="16"/>
                <w:szCs w:val="16"/>
              </w:rPr>
            </w:pPr>
            <w:r w:rsidDel="00000000" w:rsidR="00000000" w:rsidRPr="00000000">
              <w:rPr>
                <w:rFonts w:ascii="Merriweather" w:cs="Merriweather" w:eastAsia="Merriweather" w:hAnsi="Merriweather"/>
                <w:sz w:val="16"/>
                <w:szCs w:val="16"/>
                <w:rtl w:val="0"/>
              </w:rPr>
              <w:t xml:space="preserve">It is the policy of Public Schools of Petoskey that no person shall, on the basis of race, color, religion, age, national origin or ancestry, sex, marital status or handicap be excluded for participation in, be denied the benefits of, or be subjected to discrimination under any programs or activity and employment as required by Title VI Civil Rights Act of 1963; Section 504 of the Rehabilitation Act. Any questions concerning discrimination should be directed to the Title IX Coordinator, Public Schools of Petoskey, 1130 Howard Street, Petoskey, MI  49770, or phone (231) 348-2100.</w:t>
            </w:r>
          </w:p>
        </w:tc>
      </w:tr>
    </w:tbl>
    <w:p w:rsidR="00000000" w:rsidDel="00000000" w:rsidP="00000000" w:rsidRDefault="00000000" w:rsidRPr="00000000" w14:paraId="0000002B">
      <w:pPr>
        <w:spacing w:after="0" w:line="240" w:lineRule="auto"/>
        <w:ind w:hanging="2"/>
        <w:rPr/>
      </w:pPr>
      <w:r w:rsidDel="00000000" w:rsidR="00000000" w:rsidRPr="00000000">
        <w:rPr>
          <w:rtl w:val="0"/>
        </w:rPr>
      </w:r>
    </w:p>
    <w:sectPr>
      <w:footerReference r:id="rId8" w:type="default"/>
      <w:pgSz w:h="15840" w:w="12240" w:orient="portrait"/>
      <w:pgMar w:bottom="990" w:top="270" w:left="117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 w:name="Merriweather">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C">
    <w:pPr>
      <w:spacing w:after="0" w:line="240" w:lineRule="auto"/>
      <w:ind w:hanging="1"/>
      <w:jc w:val="center"/>
      <w:rPr>
        <w:rFonts w:ascii="Times New Roman" w:cs="Times New Roman" w:eastAsia="Times New Roman" w:hAnsi="Times New Roman"/>
        <w:i w:val="1"/>
        <w:sz w:val="16"/>
        <w:szCs w:val="16"/>
      </w:rPr>
    </w:pPr>
    <w:r w:rsidDel="00000000" w:rsidR="00000000" w:rsidRPr="00000000">
      <w:rPr>
        <w:rtl w:val="0"/>
      </w:rPr>
    </w:r>
  </w:p>
  <w:p w:rsidR="00000000" w:rsidDel="00000000" w:rsidP="00000000" w:rsidRDefault="00000000" w:rsidRPr="00000000" w14:paraId="0000002D">
    <w:pPr>
      <w:spacing w:after="0" w:line="240" w:lineRule="auto"/>
      <w:ind w:hanging="1"/>
      <w:jc w:val="center"/>
      <w:rPr>
        <w:rFonts w:ascii="Times New Roman" w:cs="Times New Roman" w:eastAsia="Times New Roman" w:hAnsi="Times New Roman"/>
        <w:i w:val="1"/>
        <w:sz w:val="16"/>
        <w:szCs w:val="16"/>
      </w:rPr>
    </w:pPr>
    <w:r w:rsidDel="00000000" w:rsidR="00000000" w:rsidRPr="00000000">
      <w:rPr>
        <w:rFonts w:ascii="Times New Roman" w:cs="Times New Roman" w:eastAsia="Times New Roman" w:hAnsi="Times New Roman"/>
        <w:i w:val="1"/>
        <w:sz w:val="16"/>
        <w:szCs w:val="16"/>
        <w:rtl w:val="0"/>
      </w:rPr>
      <w:t xml:space="preserve">Public Schools of Petoskey - 1130 Howard Street, Petoskey, MI  49770</w:t>
    </w:r>
  </w:p>
  <w:p w:rsidR="00000000" w:rsidDel="00000000" w:rsidP="00000000" w:rsidRDefault="00000000" w:rsidRPr="00000000" w14:paraId="0000002E">
    <w:pPr>
      <w:spacing w:after="0" w:line="240" w:lineRule="auto"/>
      <w:ind w:hanging="1"/>
      <w:jc w:val="center"/>
      <w:rPr/>
    </w:pPr>
    <w:r w:rsidDel="00000000" w:rsidR="00000000" w:rsidRPr="00000000">
      <w:rPr>
        <w:rFonts w:ascii="Times New Roman" w:cs="Times New Roman" w:eastAsia="Times New Roman" w:hAnsi="Times New Roman"/>
        <w:i w:val="1"/>
        <w:sz w:val="16"/>
        <w:szCs w:val="16"/>
        <w:rtl w:val="0"/>
      </w:rPr>
      <w:t xml:space="preserve">(P) 231.348.2100   (F)231.348.2342</w:t>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https://www.petoskeyschools.org/employment/" TargetMode="Externa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Merriweather-regular.ttf"/><Relationship Id="rId2" Type="http://schemas.openxmlformats.org/officeDocument/2006/relationships/font" Target="fonts/Merriweather-bold.ttf"/><Relationship Id="rId3" Type="http://schemas.openxmlformats.org/officeDocument/2006/relationships/font" Target="fonts/Merriweather-italic.ttf"/><Relationship Id="rId4" Type="http://schemas.openxmlformats.org/officeDocument/2006/relationships/font" Target="fonts/Merriweather-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